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AB96D" w14:textId="39C10246" w:rsidR="00C33A5B" w:rsidRDefault="001964C9" w:rsidP="001964C9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Fourth Grade Newsletter</w:t>
      </w:r>
    </w:p>
    <w:p w14:paraId="21DED2E8" w14:textId="7748DE24" w:rsidR="001964C9" w:rsidRDefault="001964C9" w:rsidP="001964C9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May 1</w:t>
      </w:r>
      <w:r w:rsidRPr="001964C9">
        <w:rPr>
          <w:rFonts w:ascii="Century Gothic" w:hAnsi="Century Gothic"/>
          <w:b/>
          <w:bCs/>
          <w:sz w:val="24"/>
          <w:szCs w:val="24"/>
          <w:vertAlign w:val="superscript"/>
        </w:rPr>
        <w:t>st</w:t>
      </w:r>
      <w:r>
        <w:rPr>
          <w:rFonts w:ascii="Century Gothic" w:hAnsi="Century Gothic"/>
          <w:b/>
          <w:bCs/>
          <w:sz w:val="24"/>
          <w:szCs w:val="24"/>
        </w:rPr>
        <w:t>-5</w:t>
      </w:r>
      <w:r w:rsidRPr="001964C9">
        <w:rPr>
          <w:rFonts w:ascii="Century Gothic" w:hAnsi="Century Gothic"/>
          <w:b/>
          <w:bCs/>
          <w:sz w:val="24"/>
          <w:szCs w:val="24"/>
          <w:vertAlign w:val="superscript"/>
        </w:rPr>
        <w:t>th</w:t>
      </w:r>
    </w:p>
    <w:p w14:paraId="3F3A396D" w14:textId="77777777" w:rsidR="001964C9" w:rsidRDefault="001964C9" w:rsidP="001964C9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</w:p>
    <w:p w14:paraId="6EBD2E0B" w14:textId="01670EAF" w:rsidR="001964C9" w:rsidRDefault="001964C9" w:rsidP="001964C9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Announcements:</w:t>
      </w:r>
    </w:p>
    <w:p w14:paraId="5F0E6D80" w14:textId="3697EC40" w:rsidR="001964C9" w:rsidRDefault="001964C9" w:rsidP="001964C9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-It is the last month of 4</w:t>
      </w:r>
      <w:r w:rsidRPr="001964C9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 grade!  This month will be busy, so please be sure to monitor PowerSchool for any missing/late assignments.</w:t>
      </w:r>
    </w:p>
    <w:p w14:paraId="5E06851E" w14:textId="6FF03BA6" w:rsidR="001964C9" w:rsidRDefault="001964C9" w:rsidP="001964C9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</w:t>
      </w:r>
      <w:proofErr w:type="spellStart"/>
      <w:r>
        <w:rPr>
          <w:rFonts w:ascii="Century Gothic" w:hAnsi="Century Gothic"/>
          <w:sz w:val="24"/>
          <w:szCs w:val="24"/>
        </w:rPr>
        <w:t>TNReady</w:t>
      </w:r>
      <w:proofErr w:type="spellEnd"/>
      <w:r>
        <w:rPr>
          <w:rFonts w:ascii="Century Gothic" w:hAnsi="Century Gothic"/>
          <w:sz w:val="24"/>
          <w:szCs w:val="24"/>
        </w:rPr>
        <w:t xml:space="preserve"> testing is over!  However, the window for </w:t>
      </w:r>
      <w:proofErr w:type="spellStart"/>
      <w:r>
        <w:rPr>
          <w:rFonts w:ascii="Century Gothic" w:hAnsi="Century Gothic"/>
          <w:sz w:val="24"/>
          <w:szCs w:val="24"/>
        </w:rPr>
        <w:t>IReady</w:t>
      </w:r>
      <w:proofErr w:type="spellEnd"/>
      <w:r>
        <w:rPr>
          <w:rFonts w:ascii="Century Gothic" w:hAnsi="Century Gothic"/>
          <w:sz w:val="24"/>
          <w:szCs w:val="24"/>
        </w:rPr>
        <w:t xml:space="preserve"> benchmark testing is now open.  Students will take the </w:t>
      </w:r>
      <w:proofErr w:type="spellStart"/>
      <w:r>
        <w:rPr>
          <w:rFonts w:ascii="Century Gothic" w:hAnsi="Century Gothic"/>
          <w:sz w:val="24"/>
          <w:szCs w:val="24"/>
        </w:rPr>
        <w:t>IReady</w:t>
      </w:r>
      <w:proofErr w:type="spellEnd"/>
      <w:r>
        <w:rPr>
          <w:rFonts w:ascii="Century Gothic" w:hAnsi="Century Gothic"/>
          <w:sz w:val="24"/>
          <w:szCs w:val="24"/>
        </w:rPr>
        <w:t xml:space="preserve"> reading benchmark this week and math next week.  This is district mandated.</w:t>
      </w:r>
    </w:p>
    <w:p w14:paraId="1A28C528" w14:textId="3011F7F3" w:rsidR="00DC7DB2" w:rsidRPr="003F10F3" w:rsidRDefault="00DC7DB2" w:rsidP="001964C9">
      <w:pPr>
        <w:spacing w:after="0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-On May 11</w:t>
      </w:r>
      <w:r w:rsidRPr="00755171">
        <w:rPr>
          <w:rFonts w:ascii="Century Gothic" w:hAnsi="Century Gothic"/>
          <w:sz w:val="24"/>
          <w:szCs w:val="24"/>
          <w:vertAlign w:val="superscript"/>
        </w:rPr>
        <w:t>th</w:t>
      </w:r>
      <w:r w:rsidR="00755171">
        <w:rPr>
          <w:rFonts w:ascii="Century Gothic" w:hAnsi="Century Gothic"/>
          <w:sz w:val="24"/>
          <w:szCs w:val="24"/>
        </w:rPr>
        <w:t>, 4</w:t>
      </w:r>
      <w:r w:rsidR="00755171" w:rsidRPr="00755171">
        <w:rPr>
          <w:rFonts w:ascii="Century Gothic" w:hAnsi="Century Gothic"/>
          <w:sz w:val="24"/>
          <w:szCs w:val="24"/>
          <w:vertAlign w:val="superscript"/>
        </w:rPr>
        <w:t>th</w:t>
      </w:r>
      <w:r w:rsidR="00755171">
        <w:rPr>
          <w:rFonts w:ascii="Century Gothic" w:hAnsi="Century Gothic"/>
          <w:sz w:val="24"/>
          <w:szCs w:val="24"/>
        </w:rPr>
        <w:t xml:space="preserve"> grade students will participate in the state mandated Reproductive Health curriculum.  A note regarding this curriculum was sent home in last week’s work folder</w:t>
      </w:r>
      <w:r w:rsidR="00755171" w:rsidRPr="005011DE">
        <w:rPr>
          <w:rFonts w:ascii="Century Gothic" w:hAnsi="Century Gothic"/>
          <w:sz w:val="24"/>
          <w:szCs w:val="24"/>
          <w:highlight w:val="yellow"/>
        </w:rPr>
        <w:t xml:space="preserve">.  If you do </w:t>
      </w:r>
      <w:r w:rsidR="00755171" w:rsidRPr="005011DE">
        <w:rPr>
          <w:rFonts w:ascii="Century Gothic" w:hAnsi="Century Gothic"/>
          <w:b/>
          <w:bCs/>
          <w:sz w:val="24"/>
          <w:szCs w:val="24"/>
          <w:highlight w:val="yellow"/>
        </w:rPr>
        <w:t>NOT</w:t>
      </w:r>
      <w:r w:rsidR="00755171" w:rsidRPr="005011DE">
        <w:rPr>
          <w:rFonts w:ascii="Century Gothic" w:hAnsi="Century Gothic"/>
          <w:sz w:val="24"/>
          <w:szCs w:val="24"/>
          <w:highlight w:val="yellow"/>
        </w:rPr>
        <w:t xml:space="preserve"> want your child to participate, </w:t>
      </w:r>
      <w:r w:rsidR="00755171" w:rsidRPr="003F10F3">
        <w:rPr>
          <w:rFonts w:ascii="Century Gothic" w:hAnsi="Century Gothic"/>
          <w:b/>
          <w:bCs/>
          <w:sz w:val="24"/>
          <w:szCs w:val="24"/>
          <w:highlight w:val="yellow"/>
        </w:rPr>
        <w:t xml:space="preserve">you </w:t>
      </w:r>
      <w:r w:rsidR="00755171" w:rsidRPr="003F10F3">
        <w:rPr>
          <w:rFonts w:ascii="Century Gothic" w:hAnsi="Century Gothic"/>
          <w:b/>
          <w:bCs/>
          <w:i/>
          <w:iCs/>
          <w:sz w:val="24"/>
          <w:szCs w:val="24"/>
          <w:highlight w:val="yellow"/>
          <w:u w:val="single"/>
        </w:rPr>
        <w:t>must email your child’s homeroom teacher</w:t>
      </w:r>
      <w:r w:rsidR="006F2375" w:rsidRPr="003F10F3">
        <w:rPr>
          <w:rFonts w:ascii="Century Gothic" w:hAnsi="Century Gothic"/>
          <w:b/>
          <w:bCs/>
          <w:i/>
          <w:iCs/>
          <w:sz w:val="24"/>
          <w:szCs w:val="24"/>
          <w:highlight w:val="yellow"/>
          <w:u w:val="single"/>
        </w:rPr>
        <w:t xml:space="preserve"> PRIOR to May 11</w:t>
      </w:r>
      <w:r w:rsidR="006F2375" w:rsidRPr="003F10F3">
        <w:rPr>
          <w:rFonts w:ascii="Century Gothic" w:hAnsi="Century Gothic"/>
          <w:b/>
          <w:bCs/>
          <w:i/>
          <w:iCs/>
          <w:sz w:val="24"/>
          <w:szCs w:val="24"/>
          <w:highlight w:val="yellow"/>
          <w:u w:val="single"/>
          <w:vertAlign w:val="superscript"/>
        </w:rPr>
        <w:t>th</w:t>
      </w:r>
      <w:r w:rsidR="006F2375" w:rsidRPr="003F10F3">
        <w:rPr>
          <w:rFonts w:ascii="Century Gothic" w:hAnsi="Century Gothic"/>
          <w:b/>
          <w:bCs/>
          <w:i/>
          <w:iCs/>
          <w:sz w:val="24"/>
          <w:szCs w:val="24"/>
          <w:highlight w:val="yellow"/>
          <w:u w:val="single"/>
        </w:rPr>
        <w:t>.</w:t>
      </w:r>
    </w:p>
    <w:p w14:paraId="7C569F2F" w14:textId="77777777" w:rsidR="001964C9" w:rsidRPr="003F10F3" w:rsidRDefault="001964C9" w:rsidP="001964C9">
      <w:pPr>
        <w:spacing w:after="0"/>
        <w:rPr>
          <w:rFonts w:ascii="Century Gothic" w:hAnsi="Century Gothic"/>
          <w:b/>
          <w:bCs/>
          <w:sz w:val="24"/>
          <w:szCs w:val="24"/>
        </w:rPr>
      </w:pPr>
    </w:p>
    <w:p w14:paraId="57C688A3" w14:textId="50D6B260" w:rsidR="001964C9" w:rsidRDefault="001964C9" w:rsidP="001964C9">
      <w:pPr>
        <w:spacing w:after="0"/>
        <w:rPr>
          <w:rFonts w:ascii="Century Gothic" w:hAnsi="Century Gothic"/>
          <w:i/>
          <w:iCs/>
          <w:sz w:val="24"/>
          <w:szCs w:val="24"/>
        </w:rPr>
      </w:pPr>
      <w:r w:rsidRPr="001964C9">
        <w:rPr>
          <w:rFonts w:ascii="Century Gothic" w:hAnsi="Century Gothic"/>
          <w:i/>
          <w:iCs/>
          <w:sz w:val="24"/>
          <w:szCs w:val="24"/>
        </w:rPr>
        <w:t>Upcoming dates:</w:t>
      </w:r>
    </w:p>
    <w:p w14:paraId="214871C5" w14:textId="45D2DCE9" w:rsidR="000616A9" w:rsidRPr="000616A9" w:rsidRDefault="000616A9" w:rsidP="001964C9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/>
          <w:iCs/>
          <w:sz w:val="24"/>
          <w:szCs w:val="24"/>
        </w:rPr>
        <w:t>-</w:t>
      </w:r>
      <w:r>
        <w:rPr>
          <w:rFonts w:ascii="Century Gothic" w:hAnsi="Century Gothic"/>
          <w:sz w:val="24"/>
          <w:szCs w:val="24"/>
        </w:rPr>
        <w:t>May 8</w:t>
      </w:r>
      <w:r w:rsidRPr="000616A9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>-12</w:t>
      </w:r>
      <w:r w:rsidRPr="000616A9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>: Career Week (notes were sent home with students last week)</w:t>
      </w:r>
    </w:p>
    <w:p w14:paraId="48AB783C" w14:textId="57319CF7" w:rsidR="001964C9" w:rsidRDefault="001964C9" w:rsidP="001964C9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-May 16</w:t>
      </w:r>
      <w:r w:rsidRPr="001964C9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 xml:space="preserve">: Discovery Park Field Trip; Students must arrive </w:t>
      </w:r>
      <w:proofErr w:type="gramStart"/>
      <w:r>
        <w:rPr>
          <w:rFonts w:ascii="Century Gothic" w:hAnsi="Century Gothic"/>
          <w:sz w:val="24"/>
          <w:szCs w:val="24"/>
        </w:rPr>
        <w:t>to</w:t>
      </w:r>
      <w:proofErr w:type="gramEnd"/>
      <w:r>
        <w:rPr>
          <w:rFonts w:ascii="Century Gothic" w:hAnsi="Century Gothic"/>
          <w:sz w:val="24"/>
          <w:szCs w:val="24"/>
        </w:rPr>
        <w:t xml:space="preserve"> school by 6:45 AM.  We will return by 5:00 PM.  </w:t>
      </w:r>
    </w:p>
    <w:p w14:paraId="5F6C5DD8" w14:textId="06705FF6" w:rsidR="001964C9" w:rsidRDefault="001964C9" w:rsidP="001964C9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-May 19</w:t>
      </w:r>
      <w:r w:rsidRPr="001964C9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>: Field Day (all day)</w:t>
      </w:r>
    </w:p>
    <w:p w14:paraId="3D847049" w14:textId="0C91EBE9" w:rsidR="001964C9" w:rsidRDefault="001964C9" w:rsidP="001964C9">
      <w:pPr>
        <w:spacing w:after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-May 26</w:t>
      </w:r>
      <w:r w:rsidRPr="001964C9">
        <w:rPr>
          <w:rFonts w:ascii="Century Gothic" w:hAnsi="Century Gothic"/>
          <w:sz w:val="24"/>
          <w:szCs w:val="24"/>
          <w:vertAlign w:val="superscript"/>
        </w:rPr>
        <w:t>th</w:t>
      </w:r>
      <w:r>
        <w:rPr>
          <w:rFonts w:ascii="Century Gothic" w:hAnsi="Century Gothic"/>
          <w:sz w:val="24"/>
          <w:szCs w:val="24"/>
        </w:rPr>
        <w:t>: Last Day of School</w:t>
      </w:r>
    </w:p>
    <w:p w14:paraId="1CF787AE" w14:textId="77777777" w:rsidR="001964C9" w:rsidRDefault="001964C9" w:rsidP="001964C9">
      <w:pPr>
        <w:spacing w:after="0"/>
        <w:rPr>
          <w:rFonts w:ascii="Century Gothic" w:hAnsi="Century Gothic"/>
          <w:sz w:val="24"/>
          <w:szCs w:val="24"/>
        </w:rPr>
      </w:pPr>
    </w:p>
    <w:p w14:paraId="7205DF72" w14:textId="77777777" w:rsidR="001964C9" w:rsidRPr="001964C9" w:rsidRDefault="001964C9" w:rsidP="001964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964C9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Reading/Language Arts: </w:t>
      </w:r>
    </w:p>
    <w:p w14:paraId="665A1E75" w14:textId="77777777" w:rsidR="001964C9" w:rsidRPr="001964C9" w:rsidRDefault="001964C9" w:rsidP="001964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Reading Holes for Literacy Circle and Q4 Project</w:t>
      </w:r>
      <w:r w:rsidRPr="001964C9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2A4F6D0F" w14:textId="77777777" w:rsidR="001964C9" w:rsidRPr="001964C9" w:rsidRDefault="001964C9" w:rsidP="001964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Please see the link below if you would like your </w:t>
      </w:r>
      <w:proofErr w:type="gramStart"/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student</w:t>
      </w:r>
      <w:proofErr w:type="gramEnd"/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to have their own copy of the text. </w:t>
      </w:r>
      <w:r w:rsidRPr="001964C9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4417AA45" w14:textId="77777777" w:rsidR="001964C9" w:rsidRPr="001964C9" w:rsidRDefault="001964C9" w:rsidP="001964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964C9">
        <w:rPr>
          <w:rFonts w:ascii="Calibri" w:eastAsia="Times New Roman" w:hAnsi="Calibri" w:cs="Calibri"/>
          <w:color w:val="000000"/>
          <w:kern w:val="0"/>
          <w:bdr w:val="none" w:sz="0" w:space="0" w:color="auto" w:frame="1"/>
          <w14:ligatures w14:val="none"/>
        </w:rPr>
        <w:br/>
      </w:r>
      <w:hyperlink r:id="rId5" w:tgtFrame="_blank" w:history="1">
        <w:r w:rsidRPr="001964C9">
          <w:rPr>
            <w:rFonts w:ascii="Century Gothic" w:eastAsia="Times New Roman" w:hAnsi="Century Gothic" w:cs="Calibri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 xml:space="preserve">Holes (Holes Series): Louis Sachar, Vladimir </w:t>
        </w:r>
        <w:proofErr w:type="spellStart"/>
        <w:r w:rsidRPr="001964C9">
          <w:rPr>
            <w:rFonts w:ascii="Century Gothic" w:eastAsia="Times New Roman" w:hAnsi="Century Gothic" w:cs="Calibri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Radunsky</w:t>
        </w:r>
        <w:proofErr w:type="spellEnd"/>
        <w:r w:rsidRPr="001964C9">
          <w:rPr>
            <w:rFonts w:ascii="Century Gothic" w:eastAsia="Times New Roman" w:hAnsi="Century Gothic" w:cs="Calibri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 xml:space="preserve">, Bagram </w:t>
        </w:r>
        <w:proofErr w:type="spellStart"/>
        <w:r w:rsidRPr="001964C9">
          <w:rPr>
            <w:rFonts w:ascii="Century Gothic" w:eastAsia="Times New Roman" w:hAnsi="Century Gothic" w:cs="Calibri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Ibatoulline</w:t>
        </w:r>
        <w:proofErr w:type="spellEnd"/>
        <w:r w:rsidRPr="001964C9">
          <w:rPr>
            <w:rFonts w:ascii="Century Gothic" w:eastAsia="Times New Roman" w:hAnsi="Century Gothic" w:cs="Calibri"/>
            <w:color w:val="0000FF"/>
            <w:kern w:val="0"/>
            <w:sz w:val="24"/>
            <w:szCs w:val="24"/>
            <w:u w:val="single"/>
            <w:bdr w:val="none" w:sz="0" w:space="0" w:color="auto" w:frame="1"/>
            <w14:ligatures w14:val="none"/>
          </w:rPr>
          <w:t>: 8601234593263: Amazon.com: Books</w:t>
        </w:r>
      </w:hyperlink>
      <w:r w:rsidRPr="001964C9">
        <w:rPr>
          <w:rFonts w:ascii="inherit" w:eastAsia="Times New Roman" w:hAnsi="inherit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5AEC0064" w14:textId="77777777" w:rsidR="001964C9" w:rsidRPr="001964C9" w:rsidRDefault="001964C9" w:rsidP="001964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964C9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SWBAT</w:t>
      </w: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gramStart"/>
      <w:r w:rsidRPr="001964C9">
        <w:rPr>
          <w:rFonts w:ascii="Century Gothic" w:eastAsia="Times New Roman" w:hAnsi="Century Gothic" w:cs="Calibri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describe</w:t>
      </w:r>
      <w:proofErr w:type="gramEnd"/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the </w:t>
      </w:r>
      <w:r w:rsidRPr="001964C9">
        <w:rPr>
          <w:rFonts w:ascii="Century Gothic" w:eastAsia="Times New Roman" w:hAnsi="Century Gothic" w:cs="Calibri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characters</w:t>
      </w: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in a </w:t>
      </w:r>
      <w:r w:rsidRPr="001964C9">
        <w:rPr>
          <w:rFonts w:ascii="Century Gothic" w:eastAsia="Times New Roman" w:hAnsi="Century Gothic" w:cs="Calibri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story</w:t>
      </w: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including their </w:t>
      </w:r>
      <w:r w:rsidRPr="001964C9">
        <w:rPr>
          <w:rFonts w:ascii="Century Gothic" w:eastAsia="Times New Roman" w:hAnsi="Century Gothic" w:cs="Calibri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traits</w:t>
      </w: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 </w:t>
      </w:r>
      <w:r w:rsidRPr="001964C9">
        <w:rPr>
          <w:rFonts w:ascii="Century Gothic" w:eastAsia="Times New Roman" w:hAnsi="Century Gothic" w:cs="Calibri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motivations</w:t>
      </w: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, or </w:t>
      </w:r>
      <w:r w:rsidRPr="001964C9">
        <w:rPr>
          <w:rFonts w:ascii="Century Gothic" w:eastAsia="Times New Roman" w:hAnsi="Century Gothic" w:cs="Calibri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feelings </w:t>
      </w:r>
      <w:r w:rsidRPr="001964C9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IOT </w:t>
      </w:r>
      <w:r w:rsidRPr="001964C9">
        <w:rPr>
          <w:rFonts w:ascii="Century Gothic" w:eastAsia="Times New Roman" w:hAnsi="Century Gothic" w:cs="Calibri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explain</w:t>
      </w: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how their actions</w:t>
      </w:r>
      <w:r w:rsidRPr="001964C9">
        <w:rPr>
          <w:rFonts w:ascii="Century Gothic" w:eastAsia="Times New Roman" w:hAnsi="Century Gothic" w:cs="Calibri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 contribute</w:t>
      </w: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to the </w:t>
      </w:r>
      <w:r w:rsidRPr="001964C9">
        <w:rPr>
          <w:rFonts w:ascii="Century Gothic" w:eastAsia="Times New Roman" w:hAnsi="Century Gothic" w:cs="Calibri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 xml:space="preserve">sequence </w:t>
      </w:r>
      <w:proofErr w:type="spellStart"/>
      <w:proofErr w:type="gramStart"/>
      <w:r w:rsidRPr="001964C9">
        <w:rPr>
          <w:rFonts w:ascii="Century Gothic" w:eastAsia="Times New Roman" w:hAnsi="Century Gothic" w:cs="Calibri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ofevents</w:t>
      </w:r>
      <w:proofErr w:type="spellEnd"/>
      <w:proofErr w:type="gramEnd"/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  </w:t>
      </w:r>
      <w:r w:rsidRPr="001964C9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2AD7E8AD" w14:textId="77777777" w:rsidR="001964C9" w:rsidRPr="001964C9" w:rsidRDefault="001964C9" w:rsidP="001964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964C9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SWBAT</w:t>
      </w: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gramStart"/>
      <w:r w:rsidRPr="001964C9">
        <w:rPr>
          <w:rFonts w:ascii="Century Gothic" w:eastAsia="Times New Roman" w:hAnsi="Century Gothic" w:cs="Calibri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identify</w:t>
      </w:r>
      <w:proofErr w:type="gramEnd"/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and </w:t>
      </w:r>
      <w:r w:rsidRPr="001964C9">
        <w:rPr>
          <w:rFonts w:ascii="Century Gothic" w:eastAsia="Times New Roman" w:hAnsi="Century Gothic" w:cs="Calibri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define </w:t>
      </w:r>
      <w:r w:rsidRPr="001964C9">
        <w:rPr>
          <w:rFonts w:ascii="Century Gothic" w:eastAsia="Times New Roman" w:hAnsi="Century Gothic" w:cs="Calibri"/>
          <w:color w:val="0070C0"/>
          <w:kern w:val="0"/>
          <w:sz w:val="24"/>
          <w:szCs w:val="24"/>
          <w:bdr w:val="none" w:sz="0" w:space="0" w:color="auto" w:frame="1"/>
          <w14:ligatures w14:val="none"/>
        </w:rPr>
        <w:t>word parts </w:t>
      </w:r>
      <w:r w:rsidRPr="001964C9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IOT </w:t>
      </w:r>
      <w:r w:rsidRPr="001964C9">
        <w:rPr>
          <w:rFonts w:ascii="Century Gothic" w:eastAsia="Times New Roman" w:hAnsi="Century Gothic" w:cs="Calibri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determine</w:t>
      </w: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the meaning of </w:t>
      </w:r>
      <w:r w:rsidRPr="001964C9">
        <w:rPr>
          <w:rFonts w:ascii="Century Gothic" w:eastAsia="Times New Roman" w:hAnsi="Century Gothic" w:cs="Calibri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unfamiliar literal</w:t>
      </w: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and </w:t>
      </w:r>
      <w:r w:rsidRPr="001964C9">
        <w:rPr>
          <w:rFonts w:ascii="Century Gothic" w:eastAsia="Times New Roman" w:hAnsi="Century Gothic" w:cs="Calibri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nonliteral</w:t>
      </w: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words and </w:t>
      </w:r>
      <w:r w:rsidRPr="001964C9">
        <w:rPr>
          <w:rFonts w:ascii="Century Gothic" w:eastAsia="Times New Roman" w:hAnsi="Century Gothic" w:cs="Calibri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phrases </w:t>
      </w: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in text, including those that </w:t>
      </w:r>
      <w:r w:rsidRPr="001964C9">
        <w:rPr>
          <w:rFonts w:ascii="Century Gothic" w:eastAsia="Times New Roman" w:hAnsi="Century Gothic" w:cs="Calibri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refer </w:t>
      </w: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to</w:t>
      </w:r>
      <w:r w:rsidRPr="001964C9">
        <w:rPr>
          <w:rFonts w:ascii="Century Gothic" w:eastAsia="Times New Roman" w:hAnsi="Century Gothic" w:cs="Calibri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 significant characters </w:t>
      </w: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and</w:t>
      </w:r>
      <w:r w:rsidRPr="001964C9">
        <w:rPr>
          <w:rFonts w:ascii="Century Gothic" w:eastAsia="Times New Roman" w:hAnsi="Century Gothic" w:cs="Calibri"/>
          <w:color w:val="FF0000"/>
          <w:kern w:val="0"/>
          <w:sz w:val="24"/>
          <w:szCs w:val="24"/>
          <w:bdr w:val="none" w:sz="0" w:space="0" w:color="auto" w:frame="1"/>
          <w14:ligatures w14:val="none"/>
        </w:rPr>
        <w:t> situations</w:t>
      </w: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. </w:t>
      </w:r>
    </w:p>
    <w:p w14:paraId="596E9EA1" w14:textId="0ADD2305" w:rsidR="001964C9" w:rsidRPr="001964C9" w:rsidRDefault="001964C9" w:rsidP="001964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IReady</w:t>
      </w:r>
      <w:proofErr w:type="spellEnd"/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Reading Diagnostic Test-May 2nd-May </w:t>
      </w:r>
      <w:proofErr w:type="gramStart"/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3</w:t>
      </w: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:vertAlign w:val="superscript"/>
          <w14:ligatures w14:val="none"/>
        </w:rPr>
        <w:t>rd</w:t>
      </w:r>
      <w:proofErr w:type="gramEnd"/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</w:t>
      </w:r>
    </w:p>
    <w:p w14:paraId="03C86487" w14:textId="77777777" w:rsidR="001964C9" w:rsidRPr="001964C9" w:rsidRDefault="001964C9" w:rsidP="001964C9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kern w:val="0"/>
          <w:sz w:val="24"/>
          <w:szCs w:val="24"/>
          <w14:ligatures w14:val="none"/>
        </w:rPr>
      </w:pP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Homework: 4 Reading Reflections (May reread Holes Chapters for the day)</w:t>
      </w:r>
    </w:p>
    <w:p w14:paraId="39C540F2" w14:textId="77777777" w:rsidR="001964C9" w:rsidRDefault="001964C9" w:rsidP="001964C9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1964C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Project Directions will be sent in an email. Be on the lookout!</w:t>
      </w:r>
    </w:p>
    <w:p w14:paraId="2415C2AB" w14:textId="77777777" w:rsidR="001964C9" w:rsidRDefault="001964C9" w:rsidP="001964C9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5034C444" w14:textId="44372A47" w:rsidR="001964C9" w:rsidRDefault="001964C9" w:rsidP="001964C9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Math:</w:t>
      </w:r>
    </w:p>
    <w:p w14:paraId="1092E43F" w14:textId="67E932C9" w:rsidR="001964C9" w:rsidRDefault="001964C9" w:rsidP="001964C9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-We will take an end of </w:t>
      </w:r>
      <w:r w:rsidRPr="00F07F3C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14:ligatures w14:val="none"/>
        </w:rPr>
        <w:t>module 6 assessment on Thursday, May 4</w:t>
      </w:r>
      <w:r w:rsidRPr="00F07F3C"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u w:val="single"/>
          <w:bdr w:val="none" w:sz="0" w:space="0" w:color="auto" w:frame="1"/>
          <w:vertAlign w:val="superscript"/>
          <w14:ligatures w14:val="none"/>
        </w:rPr>
        <w:t>th</w:t>
      </w:r>
      <w:r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!  Please use the study guide to prepare for the assessment.  It has been emailed to parents and given to students.</w:t>
      </w:r>
    </w:p>
    <w:p w14:paraId="6CCC535A" w14:textId="0D2C4D3D" w:rsidR="001964C9" w:rsidRDefault="001964C9" w:rsidP="001964C9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-We will begin Module 7: Using multiplication in measurements (focusing on the customary system)</w:t>
      </w:r>
    </w:p>
    <w:p w14:paraId="2FD94C4D" w14:textId="77777777" w:rsidR="001964C9" w:rsidRDefault="001964C9" w:rsidP="001964C9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438CAA95" w14:textId="2D9792C6" w:rsidR="001964C9" w:rsidRPr="00F07F3C" w:rsidRDefault="001964C9" w:rsidP="001964C9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F07F3C">
        <w:rPr>
          <w:rFonts w:ascii="Century Gothic" w:eastAsia="Times New Roman" w:hAnsi="Century Gothic" w:cs="Calibri"/>
          <w:i/>
          <w:i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This week:</w:t>
      </w:r>
    </w:p>
    <w:p w14:paraId="699690B4" w14:textId="6376B493" w:rsidR="001964C9" w:rsidRDefault="00692ADF" w:rsidP="001964C9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Review lesson 1-2: Creating conversion charts for units </w:t>
      </w:r>
      <w:r w:rsidR="00F0726A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of length, weight and </w:t>
      </w:r>
      <w:proofErr w:type="gramStart"/>
      <w:r w:rsidR="00F0726A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capacity</w:t>
      </w:r>
      <w:proofErr w:type="gramEnd"/>
    </w:p>
    <w:p w14:paraId="2E69C8BA" w14:textId="5A4E556A" w:rsidR="00F0726A" w:rsidRPr="00C80113" w:rsidRDefault="00F0726A" w:rsidP="001964C9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C80113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Lesson 3:</w:t>
      </w:r>
      <w:r w:rsidR="00F07F3C" w:rsidRPr="00C80113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C80113" w:rsidRPr="00C80113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Create conversion charts for</w:t>
      </w:r>
      <w:r w:rsidR="00C80113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units of </w:t>
      </w:r>
      <w:proofErr w:type="gramStart"/>
      <w:r w:rsidR="00C80113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time</w:t>
      </w:r>
      <w:proofErr w:type="gramEnd"/>
    </w:p>
    <w:p w14:paraId="5933BB64" w14:textId="79DBAF17" w:rsidR="00F0726A" w:rsidRPr="006D19A9" w:rsidRDefault="00F0726A" w:rsidP="001964C9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6D19A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Lesson </w:t>
      </w:r>
      <w:proofErr w:type="gramStart"/>
      <w:r w:rsidRPr="006D19A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4</w:t>
      </w:r>
      <w:r w:rsidR="00C80113" w:rsidRPr="006D19A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 :</w:t>
      </w:r>
      <w:proofErr w:type="gramEnd"/>
      <w:r w:rsidR="00C80113" w:rsidRPr="006D19A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r w:rsidR="006D19A9" w:rsidRPr="006D19A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Solve multiplicative comparison word pro</w:t>
      </w:r>
      <w:r w:rsidR="006D19A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blems</w:t>
      </w:r>
    </w:p>
    <w:p w14:paraId="4E2781EA" w14:textId="65B953FC" w:rsidR="00F0726A" w:rsidRDefault="00F0726A" w:rsidP="001964C9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 w:rsidRPr="006D19A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Lesson 6: </w:t>
      </w:r>
      <w:r w:rsidR="006D19A9" w:rsidRPr="006D19A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Solve problems involving m</w:t>
      </w:r>
      <w:r w:rsidR="006D19A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 xml:space="preserve">ixed units of </w:t>
      </w:r>
      <w:proofErr w:type="gramStart"/>
      <w:r w:rsidR="006D19A9"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capacity</w:t>
      </w:r>
      <w:proofErr w:type="gramEnd"/>
    </w:p>
    <w:p w14:paraId="0142724E" w14:textId="77777777" w:rsidR="00580074" w:rsidRDefault="00580074" w:rsidP="001964C9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28D64FD8" w14:textId="390664B6" w:rsidR="00580074" w:rsidRDefault="00580074" w:rsidP="001964C9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  <w:r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  <w:t>Science/Social Studies:</w:t>
      </w:r>
    </w:p>
    <w:p w14:paraId="08DDDCAB" w14:textId="77777777" w:rsidR="00580074" w:rsidRPr="00580074" w:rsidRDefault="00580074" w:rsidP="001964C9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b/>
          <w:bCs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127EFDAC" w14:textId="77777777" w:rsidR="003A0B6E" w:rsidRDefault="003A0B6E" w:rsidP="001964C9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Calibri"/>
          <w:color w:val="000000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3AA7661F" w14:textId="77777777" w:rsidR="003A0B6E" w:rsidRPr="006D19A9" w:rsidRDefault="003A0B6E" w:rsidP="001964C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CD5AC25" w14:textId="77777777" w:rsidR="001964C9" w:rsidRPr="006D19A9" w:rsidRDefault="001964C9" w:rsidP="001964C9">
      <w:pPr>
        <w:spacing w:after="0"/>
        <w:rPr>
          <w:rFonts w:ascii="Century Gothic" w:hAnsi="Century Gothic"/>
          <w:sz w:val="24"/>
          <w:szCs w:val="24"/>
        </w:rPr>
      </w:pPr>
    </w:p>
    <w:sectPr w:rsidR="001964C9" w:rsidRPr="006D19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C9"/>
    <w:rsid w:val="000616A9"/>
    <w:rsid w:val="001964C9"/>
    <w:rsid w:val="003A0B6E"/>
    <w:rsid w:val="003F10F3"/>
    <w:rsid w:val="005011DE"/>
    <w:rsid w:val="00580074"/>
    <w:rsid w:val="00692ADF"/>
    <w:rsid w:val="006D19A9"/>
    <w:rsid w:val="006F2375"/>
    <w:rsid w:val="00706105"/>
    <w:rsid w:val="00755171"/>
    <w:rsid w:val="009C4C09"/>
    <w:rsid w:val="00C33A5B"/>
    <w:rsid w:val="00C80113"/>
    <w:rsid w:val="00DC7DB2"/>
    <w:rsid w:val="00F0726A"/>
    <w:rsid w:val="00F0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25409"/>
  <w15:chartTrackingRefBased/>
  <w15:docId w15:val="{1FFF2813-0962-4B57-9747-551EE0D5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96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contentpasted0">
    <w:name w:val="x_contentpasted0"/>
    <w:basedOn w:val="DefaultParagraphFont"/>
    <w:rsid w:val="001964C9"/>
  </w:style>
  <w:style w:type="character" w:styleId="Hyperlink">
    <w:name w:val="Hyperlink"/>
    <w:basedOn w:val="DefaultParagraphFont"/>
    <w:uiPriority w:val="99"/>
    <w:semiHidden/>
    <w:unhideWhenUsed/>
    <w:rsid w:val="00196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Holes-Louis-Sachar/dp/0440414806/ref=tmm_pap_swatch_0?_encoding=UTF8&amp;qid=1680630585&amp;sr=8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F611C-E357-4F49-89B8-CC907225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 KOCH</dc:creator>
  <cp:keywords/>
  <dc:description/>
  <cp:lastModifiedBy>LAURA F KOCH</cp:lastModifiedBy>
  <cp:revision>15</cp:revision>
  <dcterms:created xsi:type="dcterms:W3CDTF">2023-04-25T13:19:00Z</dcterms:created>
  <dcterms:modified xsi:type="dcterms:W3CDTF">2023-04-28T00:38:00Z</dcterms:modified>
</cp:coreProperties>
</file>